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A0A" w:rsidRDefault="002C6A0A" w:rsidP="002C6A0A">
      <w:pPr>
        <w:widowControl/>
        <w:spacing w:line="600" w:lineRule="exact"/>
        <w:jc w:val="left"/>
        <w:rPr>
          <w:rFonts w:eastAsia="黑体"/>
          <w:sz w:val="32"/>
          <w:szCs w:val="40"/>
        </w:rPr>
      </w:pPr>
      <w:r>
        <w:rPr>
          <w:rFonts w:eastAsia="黑体"/>
          <w:sz w:val="32"/>
          <w:szCs w:val="40"/>
        </w:rPr>
        <w:t>附件</w:t>
      </w:r>
      <w:r>
        <w:rPr>
          <w:rFonts w:eastAsia="黑体"/>
          <w:sz w:val="32"/>
          <w:szCs w:val="40"/>
        </w:rPr>
        <w:t>1</w:t>
      </w:r>
    </w:p>
    <w:p w:rsidR="002C6A0A" w:rsidRDefault="002C6A0A" w:rsidP="002C6A0A">
      <w:pPr>
        <w:spacing w:line="600" w:lineRule="exact"/>
        <w:jc w:val="center"/>
        <w:rPr>
          <w:rFonts w:eastAsia="方正小标宋简体"/>
          <w:sz w:val="44"/>
          <w:szCs w:val="44"/>
        </w:rPr>
      </w:pPr>
    </w:p>
    <w:p w:rsidR="002C6A0A" w:rsidRDefault="002C6A0A" w:rsidP="002C6A0A">
      <w:pPr>
        <w:spacing w:line="600" w:lineRule="exact"/>
        <w:jc w:val="center"/>
        <w:rPr>
          <w:rFonts w:eastAsia="方正小标宋简体"/>
          <w:sz w:val="44"/>
          <w:szCs w:val="44"/>
        </w:rPr>
      </w:pPr>
      <w:r>
        <w:rPr>
          <w:rFonts w:eastAsia="方正小标宋简体"/>
          <w:sz w:val="44"/>
          <w:szCs w:val="44"/>
        </w:rPr>
        <w:t>CERTDIF</w:t>
      </w:r>
      <w:r>
        <w:rPr>
          <w:rFonts w:eastAsia="方正小标宋简体"/>
          <w:sz w:val="44"/>
          <w:szCs w:val="44"/>
        </w:rPr>
        <w:t>全球数字金融证书培训项目简介</w:t>
      </w:r>
    </w:p>
    <w:p w:rsidR="002C6A0A" w:rsidRDefault="002C6A0A" w:rsidP="002C6A0A">
      <w:pPr>
        <w:spacing w:line="600" w:lineRule="exact"/>
        <w:jc w:val="center"/>
        <w:rPr>
          <w:rFonts w:eastAsia="方正小标宋简体"/>
          <w:sz w:val="32"/>
          <w:szCs w:val="32"/>
        </w:rPr>
      </w:pPr>
    </w:p>
    <w:p w:rsidR="002C6A0A" w:rsidRDefault="002C6A0A" w:rsidP="002C6A0A">
      <w:pPr>
        <w:pStyle w:val="ListParagraph"/>
        <w:numPr>
          <w:ilvl w:val="0"/>
          <w:numId w:val="1"/>
        </w:numPr>
        <w:tabs>
          <w:tab w:val="left" w:pos="1288"/>
        </w:tabs>
        <w:spacing w:line="600" w:lineRule="exact"/>
        <w:ind w:left="0" w:firstLineChars="0" w:firstLine="640"/>
        <w:jc w:val="left"/>
        <w:rPr>
          <w:rFonts w:eastAsia="黑体"/>
          <w:sz w:val="32"/>
          <w:szCs w:val="32"/>
        </w:rPr>
      </w:pPr>
      <w:r>
        <w:rPr>
          <w:rFonts w:eastAsia="黑体"/>
          <w:sz w:val="32"/>
          <w:szCs w:val="32"/>
        </w:rPr>
        <w:t>培训背景介绍</w:t>
      </w:r>
    </w:p>
    <w:p w:rsidR="002C6A0A" w:rsidRDefault="002C6A0A" w:rsidP="002C6A0A">
      <w:pPr>
        <w:spacing w:line="600" w:lineRule="exact"/>
        <w:ind w:firstLineChars="200" w:firstLine="640"/>
        <w:rPr>
          <w:rFonts w:eastAsia="仿宋"/>
          <w:sz w:val="32"/>
          <w:szCs w:val="32"/>
        </w:rPr>
      </w:pPr>
      <w:r>
        <w:rPr>
          <w:rFonts w:eastAsia="仿宋"/>
          <w:sz w:val="32"/>
          <w:szCs w:val="32"/>
        </w:rPr>
        <w:t>根据中国人民银行印发《金融科技（</w:t>
      </w:r>
      <w:r>
        <w:rPr>
          <w:rFonts w:eastAsia="仿宋"/>
          <w:sz w:val="32"/>
          <w:szCs w:val="32"/>
        </w:rPr>
        <w:t>FinTech</w:t>
      </w:r>
      <w:r>
        <w:rPr>
          <w:rFonts w:eastAsia="仿宋"/>
          <w:sz w:val="32"/>
          <w:szCs w:val="32"/>
        </w:rPr>
        <w:t>）发展规划（</w:t>
      </w:r>
      <w:r>
        <w:rPr>
          <w:rFonts w:eastAsia="仿宋"/>
          <w:sz w:val="32"/>
          <w:szCs w:val="32"/>
        </w:rPr>
        <w:t>2019-2021</w:t>
      </w:r>
      <w:r>
        <w:rPr>
          <w:rFonts w:eastAsia="仿宋"/>
          <w:sz w:val="32"/>
          <w:szCs w:val="32"/>
        </w:rPr>
        <w:t>）》，央行明确指出，我们必须要清醒地看到，金融科技的快速发展已经使得传统行业受到冲击并促使金融业务边界逐渐模糊，因此数字化金融科技的到来已势不可挡。直到</w:t>
      </w:r>
      <w:r>
        <w:rPr>
          <w:rFonts w:eastAsia="仿宋"/>
          <w:sz w:val="32"/>
          <w:szCs w:val="32"/>
        </w:rPr>
        <w:t>2020</w:t>
      </w:r>
      <w:r>
        <w:rPr>
          <w:rFonts w:eastAsia="仿宋"/>
          <w:sz w:val="32"/>
          <w:szCs w:val="32"/>
        </w:rPr>
        <w:t>年清华大学率先公布，取消传统会计专业，将专业改为计算机与金融，并招收以及培养新一批数字化金融的崭新一代。</w:t>
      </w:r>
    </w:p>
    <w:p w:rsidR="002C6A0A" w:rsidRDefault="002C6A0A" w:rsidP="002C6A0A">
      <w:pPr>
        <w:spacing w:line="600" w:lineRule="exact"/>
        <w:ind w:firstLineChars="200" w:firstLine="640"/>
        <w:jc w:val="left"/>
        <w:rPr>
          <w:rFonts w:eastAsia="仿宋"/>
          <w:sz w:val="32"/>
          <w:szCs w:val="32"/>
        </w:rPr>
      </w:pPr>
      <w:r>
        <w:rPr>
          <w:rFonts w:eastAsia="仿宋"/>
          <w:sz w:val="32"/>
          <w:szCs w:val="32"/>
        </w:rPr>
        <w:t>2020</w:t>
      </w:r>
      <w:r>
        <w:rPr>
          <w:rFonts w:eastAsia="仿宋"/>
          <w:sz w:val="32"/>
          <w:szCs w:val="32"/>
        </w:rPr>
        <w:t>年</w:t>
      </w:r>
      <w:r>
        <w:rPr>
          <w:rFonts w:eastAsia="仿宋"/>
          <w:sz w:val="32"/>
          <w:szCs w:val="32"/>
        </w:rPr>
        <w:t>3</w:t>
      </w:r>
      <w:r>
        <w:rPr>
          <w:rFonts w:eastAsia="仿宋"/>
          <w:sz w:val="32"/>
          <w:szCs w:val="32"/>
        </w:rPr>
        <w:t>月作为全球最知名的会计师组织之一，</w:t>
      </w:r>
      <w:r>
        <w:rPr>
          <w:rFonts w:eastAsia="仿宋"/>
          <w:sz w:val="32"/>
          <w:szCs w:val="32"/>
        </w:rPr>
        <w:t>ACCA</w:t>
      </w:r>
      <w:r>
        <w:rPr>
          <w:rFonts w:eastAsia="仿宋"/>
          <w:sz w:val="32"/>
          <w:szCs w:val="32"/>
        </w:rPr>
        <w:t>协会了解此次重大变革后立即与</w:t>
      </w:r>
      <w:r>
        <w:rPr>
          <w:rFonts w:eastAsia="仿宋"/>
          <w:sz w:val="32"/>
          <w:szCs w:val="32"/>
        </w:rPr>
        <w:t>Accounting CPD</w:t>
      </w:r>
      <w:r>
        <w:rPr>
          <w:rFonts w:eastAsia="仿宋"/>
          <w:sz w:val="32"/>
          <w:szCs w:val="32"/>
        </w:rPr>
        <w:t>国际会计师发展组织紧急启动了一项关于</w:t>
      </w:r>
      <w:r>
        <w:rPr>
          <w:rFonts w:eastAsia="仿宋"/>
          <w:sz w:val="32"/>
          <w:szCs w:val="32"/>
        </w:rPr>
        <w:t>“</w:t>
      </w:r>
      <w:r>
        <w:rPr>
          <w:rFonts w:eastAsia="仿宋"/>
          <w:sz w:val="32"/>
          <w:szCs w:val="32"/>
        </w:rPr>
        <w:t>传统财经人才转型成为拥有数字化技能的财经人才</w:t>
      </w:r>
      <w:r>
        <w:rPr>
          <w:rFonts w:eastAsia="仿宋"/>
          <w:sz w:val="32"/>
          <w:szCs w:val="32"/>
        </w:rPr>
        <w:t>”</w:t>
      </w:r>
      <w:r>
        <w:rPr>
          <w:rFonts w:eastAsia="仿宋"/>
          <w:sz w:val="32"/>
          <w:szCs w:val="32"/>
        </w:rPr>
        <w:t>的项目，此项目确定了行业变革的关键驱动因素，这些因素正塑造着财务及金融专业人员在企业中所扮演的角色以及对于高校传统专业的教师们先行改革的驱动因素。</w:t>
      </w:r>
    </w:p>
    <w:p w:rsidR="002C6A0A" w:rsidRDefault="002C6A0A" w:rsidP="002C6A0A">
      <w:pPr>
        <w:pStyle w:val="ListParagraph"/>
        <w:numPr>
          <w:ilvl w:val="0"/>
          <w:numId w:val="1"/>
        </w:numPr>
        <w:tabs>
          <w:tab w:val="left" w:pos="1288"/>
        </w:tabs>
        <w:spacing w:line="600" w:lineRule="exact"/>
        <w:ind w:left="0" w:firstLineChars="0" w:firstLine="640"/>
        <w:jc w:val="left"/>
        <w:rPr>
          <w:rFonts w:eastAsia="黑体"/>
          <w:sz w:val="32"/>
          <w:szCs w:val="32"/>
        </w:rPr>
      </w:pPr>
      <w:r>
        <w:rPr>
          <w:rFonts w:eastAsia="黑体"/>
          <w:sz w:val="32"/>
          <w:szCs w:val="32"/>
        </w:rPr>
        <w:t>培训项目介绍</w:t>
      </w:r>
    </w:p>
    <w:p w:rsidR="002C6A0A" w:rsidRDefault="002C6A0A" w:rsidP="002C6A0A">
      <w:pPr>
        <w:spacing w:line="600" w:lineRule="exact"/>
        <w:ind w:firstLineChars="200" w:firstLine="640"/>
        <w:jc w:val="left"/>
        <w:rPr>
          <w:rFonts w:eastAsia="仿宋"/>
          <w:sz w:val="32"/>
          <w:szCs w:val="32"/>
        </w:rPr>
      </w:pPr>
      <w:r>
        <w:rPr>
          <w:rFonts w:eastAsia="仿宋"/>
          <w:sz w:val="32"/>
          <w:szCs w:val="32"/>
        </w:rPr>
        <w:t>全球数字金融证书（</w:t>
      </w:r>
      <w:r>
        <w:rPr>
          <w:rFonts w:eastAsia="仿宋"/>
          <w:sz w:val="32"/>
          <w:szCs w:val="32"/>
        </w:rPr>
        <w:t>CERTDIF</w:t>
      </w:r>
      <w:r>
        <w:rPr>
          <w:rFonts w:eastAsia="仿宋"/>
          <w:sz w:val="32"/>
          <w:szCs w:val="32"/>
        </w:rPr>
        <w:t>）是</w:t>
      </w:r>
      <w:r>
        <w:rPr>
          <w:rFonts w:eastAsia="仿宋"/>
          <w:sz w:val="32"/>
          <w:szCs w:val="32"/>
        </w:rPr>
        <w:t>ACCA</w:t>
      </w:r>
      <w:r>
        <w:rPr>
          <w:rFonts w:eastAsia="仿宋"/>
          <w:sz w:val="32"/>
          <w:szCs w:val="32"/>
        </w:rPr>
        <w:t>与</w:t>
      </w:r>
      <w:r>
        <w:rPr>
          <w:rFonts w:eastAsia="仿宋"/>
          <w:sz w:val="32"/>
          <w:szCs w:val="32"/>
        </w:rPr>
        <w:t>ACPD</w:t>
      </w:r>
      <w:r>
        <w:rPr>
          <w:rFonts w:eastAsia="仿宋"/>
          <w:sz w:val="32"/>
          <w:szCs w:val="32"/>
        </w:rPr>
        <w:t>共同研发的针对传统财经、金融、计算机领域的资质证书，并且也是全球第一张关于数字化金融科技的证书，足见其</w:t>
      </w:r>
      <w:r>
        <w:rPr>
          <w:rFonts w:eastAsia="仿宋"/>
          <w:sz w:val="32"/>
          <w:szCs w:val="32"/>
        </w:rPr>
        <w:lastRenderedPageBreak/>
        <w:t>含金量及稀缺性。</w:t>
      </w:r>
    </w:p>
    <w:p w:rsidR="002C6A0A" w:rsidRDefault="002C6A0A" w:rsidP="002C6A0A">
      <w:pPr>
        <w:pStyle w:val="ListParagraph"/>
        <w:tabs>
          <w:tab w:val="left" w:pos="993"/>
        </w:tabs>
        <w:spacing w:line="600" w:lineRule="exact"/>
        <w:ind w:firstLine="640"/>
        <w:rPr>
          <w:rFonts w:eastAsia="仿宋"/>
          <w:sz w:val="32"/>
          <w:szCs w:val="32"/>
        </w:rPr>
      </w:pPr>
      <w:r>
        <w:rPr>
          <w:rFonts w:eastAsia="仿宋"/>
          <w:sz w:val="32"/>
          <w:szCs w:val="32"/>
        </w:rPr>
        <w:t>本次培训</w:t>
      </w:r>
      <w:r>
        <w:rPr>
          <w:rFonts w:eastAsia="仿宋"/>
          <w:sz w:val="32"/>
          <w:szCs w:val="32"/>
          <w:lang w:eastAsia="zh-Hans"/>
        </w:rPr>
        <w:t>中</w:t>
      </w:r>
      <w:r>
        <w:rPr>
          <w:rFonts w:eastAsia="仿宋"/>
          <w:sz w:val="32"/>
          <w:szCs w:val="32"/>
        </w:rPr>
        <w:t>，</w:t>
      </w:r>
      <w:r>
        <w:rPr>
          <w:rFonts w:eastAsia="仿宋"/>
          <w:sz w:val="32"/>
          <w:szCs w:val="32"/>
        </w:rPr>
        <w:t>ACCA</w:t>
      </w:r>
      <w:proofErr w:type="gramStart"/>
      <w:r>
        <w:rPr>
          <w:rFonts w:eastAsia="仿宋"/>
          <w:sz w:val="32"/>
          <w:szCs w:val="32"/>
        </w:rPr>
        <w:t>白金级</w:t>
      </w:r>
      <w:proofErr w:type="gramEnd"/>
      <w:r>
        <w:rPr>
          <w:rFonts w:eastAsia="仿宋"/>
          <w:sz w:val="32"/>
          <w:szCs w:val="32"/>
        </w:rPr>
        <w:t>认证导师团</w:t>
      </w:r>
      <w:r>
        <w:rPr>
          <w:rFonts w:eastAsia="仿宋"/>
          <w:sz w:val="32"/>
          <w:szCs w:val="32"/>
          <w:lang w:eastAsia="zh-Hans"/>
        </w:rPr>
        <w:t>、</w:t>
      </w:r>
      <w:r>
        <w:rPr>
          <w:rFonts w:eastAsia="仿宋"/>
          <w:sz w:val="32"/>
          <w:szCs w:val="32"/>
        </w:rPr>
        <w:t>ACCA</w:t>
      </w:r>
      <w:r>
        <w:rPr>
          <w:rFonts w:eastAsia="仿宋"/>
          <w:sz w:val="32"/>
          <w:szCs w:val="32"/>
        </w:rPr>
        <w:t>雇主企业高管及国际会计师事务所精英导师团队联合教学</w:t>
      </w:r>
      <w:r>
        <w:rPr>
          <w:rFonts w:eastAsia="仿宋"/>
          <w:sz w:val="32"/>
          <w:szCs w:val="32"/>
          <w:lang w:eastAsia="zh-Hans"/>
        </w:rPr>
        <w:t>；</w:t>
      </w:r>
      <w:r>
        <w:rPr>
          <w:rFonts w:eastAsia="仿宋"/>
          <w:sz w:val="32"/>
          <w:szCs w:val="32"/>
        </w:rPr>
        <w:t>赋能数字化财经师资转型核心能力，并搭建</w:t>
      </w:r>
      <w:r>
        <w:rPr>
          <w:rFonts w:eastAsia="仿宋"/>
          <w:sz w:val="32"/>
          <w:szCs w:val="32"/>
        </w:rPr>
        <w:t>ACCA</w:t>
      </w:r>
      <w:proofErr w:type="gramStart"/>
      <w:r>
        <w:rPr>
          <w:rFonts w:eastAsia="仿宋"/>
          <w:sz w:val="32"/>
          <w:szCs w:val="32"/>
        </w:rPr>
        <w:t>海外专</w:t>
      </w:r>
      <w:proofErr w:type="gramEnd"/>
      <w:r>
        <w:rPr>
          <w:rFonts w:eastAsia="仿宋"/>
          <w:sz w:val="32"/>
          <w:szCs w:val="32"/>
        </w:rPr>
        <w:t>属直升通道；助力数字化教学改革实践探索，应对大数据时代财经人才培养挑战。</w:t>
      </w:r>
    </w:p>
    <w:p w:rsidR="002C6A0A" w:rsidRDefault="002C6A0A" w:rsidP="002C6A0A">
      <w:pPr>
        <w:pStyle w:val="ListParagraph"/>
        <w:tabs>
          <w:tab w:val="left" w:pos="993"/>
        </w:tabs>
        <w:spacing w:line="600" w:lineRule="exact"/>
        <w:ind w:firstLine="640"/>
        <w:rPr>
          <w:rFonts w:eastAsia="仿宋"/>
          <w:sz w:val="32"/>
          <w:szCs w:val="32"/>
          <w:lang w:eastAsia="zh-Hans"/>
        </w:rPr>
      </w:pPr>
      <w:r>
        <w:rPr>
          <w:rFonts w:eastAsia="仿宋"/>
          <w:sz w:val="32"/>
          <w:szCs w:val="32"/>
        </w:rPr>
        <w:t>学员将了解认识金融科技行业最新动向、应用案例、金融数据可视化及分析报告，掌握金融数据人工采集、金融数据自动化、数据清洗、数据存储、机器学习原理与工具、大数据思维能力、</w:t>
      </w:r>
      <w:proofErr w:type="gramStart"/>
      <w:r>
        <w:rPr>
          <w:rFonts w:eastAsia="仿宋"/>
          <w:sz w:val="32"/>
          <w:szCs w:val="32"/>
        </w:rPr>
        <w:t>数智技术</w:t>
      </w:r>
      <w:proofErr w:type="gramEnd"/>
      <w:r>
        <w:rPr>
          <w:rFonts w:eastAsia="仿宋"/>
          <w:sz w:val="32"/>
          <w:szCs w:val="32"/>
        </w:rPr>
        <w:t>分析等专业知识</w:t>
      </w:r>
      <w:r>
        <w:rPr>
          <w:rFonts w:eastAsia="仿宋"/>
          <w:sz w:val="32"/>
          <w:szCs w:val="32"/>
          <w:lang w:eastAsia="zh-Hans"/>
        </w:rPr>
        <w:t>；明确《国家职业教育改革实施方案》和《职业技能提升行动方案（</w:t>
      </w:r>
      <w:r>
        <w:rPr>
          <w:rFonts w:eastAsia="仿宋"/>
          <w:sz w:val="32"/>
          <w:szCs w:val="32"/>
          <w:lang w:eastAsia="zh-Hans"/>
        </w:rPr>
        <w:t>2020-2023</w:t>
      </w:r>
      <w:r>
        <w:rPr>
          <w:rFonts w:eastAsia="仿宋"/>
          <w:sz w:val="32"/>
          <w:szCs w:val="32"/>
          <w:lang w:eastAsia="zh-Hans"/>
        </w:rPr>
        <w:t>）》文件精神，了解了大数据趋势下如何进行大金融类相关专业建设，如何探索大数据与金融类相关专业的改革与创新；将</w:t>
      </w:r>
      <w:r>
        <w:rPr>
          <w:rFonts w:eastAsia="仿宋"/>
          <w:sz w:val="32"/>
          <w:szCs w:val="32"/>
          <w:lang w:eastAsia="zh-Hans"/>
        </w:rPr>
        <w:t>ACCA</w:t>
      </w:r>
      <w:r>
        <w:rPr>
          <w:rFonts w:eastAsia="仿宋"/>
          <w:sz w:val="32"/>
          <w:szCs w:val="32"/>
          <w:lang w:eastAsia="zh-Hans"/>
        </w:rPr>
        <w:t>数字金融证书课程与职业技能等级标准有机融入到专业人才培养方案中，造就既懂金融又懂科技的专业师资，优化课程设置及教学模式，不断深化新时代教学方式方法改革，迎接大数据时代新挑战。</w:t>
      </w:r>
    </w:p>
    <w:p w:rsidR="002C6A0A" w:rsidRDefault="002C6A0A" w:rsidP="002C6A0A">
      <w:pPr>
        <w:pStyle w:val="ListParagraph"/>
        <w:tabs>
          <w:tab w:val="left" w:pos="993"/>
        </w:tabs>
        <w:spacing w:line="700" w:lineRule="exact"/>
        <w:ind w:firstLine="640"/>
        <w:rPr>
          <w:rFonts w:eastAsia="仿宋"/>
          <w:sz w:val="32"/>
          <w:szCs w:val="32"/>
          <w:lang w:eastAsia="zh-Hans"/>
        </w:rPr>
      </w:pPr>
    </w:p>
    <w:p w:rsidR="002C6A0A" w:rsidRDefault="002C6A0A" w:rsidP="002C6A0A">
      <w:pPr>
        <w:pStyle w:val="ListParagraph"/>
        <w:tabs>
          <w:tab w:val="left" w:pos="993"/>
        </w:tabs>
        <w:spacing w:line="700" w:lineRule="exact"/>
        <w:ind w:firstLine="640"/>
        <w:rPr>
          <w:rFonts w:eastAsia="仿宋"/>
          <w:sz w:val="32"/>
          <w:szCs w:val="32"/>
          <w:lang w:eastAsia="zh-Hans"/>
        </w:rPr>
      </w:pPr>
    </w:p>
    <w:p w:rsidR="002C6A0A" w:rsidRDefault="002C6A0A" w:rsidP="002C6A0A">
      <w:pPr>
        <w:pStyle w:val="ListParagraph"/>
        <w:tabs>
          <w:tab w:val="left" w:pos="993"/>
        </w:tabs>
        <w:spacing w:line="700" w:lineRule="exact"/>
        <w:ind w:firstLine="640"/>
        <w:rPr>
          <w:rFonts w:eastAsia="仿宋"/>
          <w:sz w:val="32"/>
          <w:szCs w:val="32"/>
          <w:lang w:eastAsia="zh-Hans"/>
        </w:rPr>
      </w:pPr>
    </w:p>
    <w:p w:rsidR="002C6A0A" w:rsidRDefault="002C6A0A" w:rsidP="002C6A0A">
      <w:pPr>
        <w:pStyle w:val="ListParagraph"/>
        <w:tabs>
          <w:tab w:val="left" w:pos="993"/>
        </w:tabs>
        <w:spacing w:line="700" w:lineRule="exact"/>
        <w:ind w:firstLine="640"/>
        <w:rPr>
          <w:rFonts w:eastAsia="仿宋"/>
          <w:sz w:val="32"/>
          <w:szCs w:val="32"/>
          <w:lang w:eastAsia="zh-Hans"/>
        </w:rPr>
      </w:pPr>
    </w:p>
    <w:p w:rsidR="002C6A0A" w:rsidRDefault="002C6A0A" w:rsidP="002C6A0A">
      <w:pPr>
        <w:pStyle w:val="ListParagraph"/>
        <w:tabs>
          <w:tab w:val="left" w:pos="993"/>
        </w:tabs>
        <w:spacing w:line="700" w:lineRule="exact"/>
        <w:ind w:firstLine="640"/>
        <w:rPr>
          <w:rFonts w:eastAsia="仿宋" w:hint="eastAsia"/>
          <w:sz w:val="32"/>
          <w:szCs w:val="32"/>
          <w:lang w:eastAsia="zh-Hans"/>
        </w:rPr>
      </w:pPr>
    </w:p>
    <w:p w:rsidR="002C6A0A" w:rsidRDefault="002C6A0A" w:rsidP="002C6A0A">
      <w:pPr>
        <w:pStyle w:val="ListParagraph"/>
        <w:numPr>
          <w:ilvl w:val="0"/>
          <w:numId w:val="1"/>
        </w:numPr>
        <w:tabs>
          <w:tab w:val="left" w:pos="1288"/>
        </w:tabs>
        <w:spacing w:line="700" w:lineRule="exact"/>
        <w:ind w:left="0" w:firstLineChars="0" w:firstLine="640"/>
        <w:jc w:val="left"/>
        <w:rPr>
          <w:rFonts w:eastAsia="黑体"/>
          <w:sz w:val="32"/>
          <w:szCs w:val="32"/>
        </w:rPr>
      </w:pPr>
      <w:r>
        <w:rPr>
          <w:rFonts w:eastAsia="黑体"/>
          <w:sz w:val="32"/>
          <w:szCs w:val="32"/>
        </w:rPr>
        <w:lastRenderedPageBreak/>
        <w:t xml:space="preserve">CERTDIF </w:t>
      </w:r>
      <w:r>
        <w:rPr>
          <w:rFonts w:eastAsia="黑体"/>
          <w:sz w:val="32"/>
          <w:szCs w:val="32"/>
        </w:rPr>
        <w:t>证书样本</w:t>
      </w:r>
    </w:p>
    <w:p w:rsidR="002C6A0A" w:rsidRDefault="002C6A0A" w:rsidP="002C6A0A">
      <w:pPr>
        <w:pStyle w:val="ListParagraph"/>
        <w:tabs>
          <w:tab w:val="left" w:pos="1288"/>
        </w:tabs>
        <w:spacing w:line="700" w:lineRule="exact"/>
        <w:ind w:left="640" w:firstLineChars="0" w:firstLine="0"/>
        <w:jc w:val="left"/>
        <w:rPr>
          <w:rFonts w:eastAsia="黑体"/>
          <w:sz w:val="32"/>
          <w:szCs w:val="32"/>
        </w:rPr>
      </w:pP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142875</wp:posOffset>
            </wp:positionV>
            <wp:extent cx="5893435" cy="7461250"/>
            <wp:effectExtent l="0" t="0" r="0" b="6350"/>
            <wp:wrapNone/>
            <wp:docPr id="1"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4"/>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93435" cy="7461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2C6A0A" w:rsidRDefault="002C6A0A" w:rsidP="002C6A0A">
      <w:pPr>
        <w:pStyle w:val="ListParagraph"/>
        <w:tabs>
          <w:tab w:val="left" w:pos="1288"/>
        </w:tabs>
        <w:spacing w:line="700" w:lineRule="exact"/>
        <w:ind w:left="640" w:firstLineChars="0" w:firstLine="0"/>
        <w:jc w:val="left"/>
        <w:rPr>
          <w:rFonts w:eastAsia="黑体"/>
          <w:sz w:val="32"/>
          <w:szCs w:val="32"/>
        </w:rPr>
      </w:pPr>
    </w:p>
    <w:p w:rsidR="002C6A0A" w:rsidRDefault="002C6A0A" w:rsidP="002C6A0A">
      <w:pPr>
        <w:pStyle w:val="ListParagraph"/>
        <w:tabs>
          <w:tab w:val="left" w:pos="1288"/>
        </w:tabs>
        <w:spacing w:line="700" w:lineRule="exact"/>
        <w:ind w:left="640" w:firstLineChars="0" w:firstLine="0"/>
        <w:jc w:val="left"/>
        <w:rPr>
          <w:rFonts w:eastAsia="黑体"/>
          <w:sz w:val="32"/>
          <w:szCs w:val="32"/>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24"/>
          <w:szCs w:val="20"/>
        </w:rPr>
      </w:pPr>
    </w:p>
    <w:p w:rsidR="002C6A0A" w:rsidRDefault="002C6A0A" w:rsidP="002C6A0A">
      <w:pPr>
        <w:widowControl/>
        <w:spacing w:line="700" w:lineRule="exact"/>
        <w:jc w:val="center"/>
        <w:rPr>
          <w:b/>
          <w:bCs/>
          <w:kern w:val="0"/>
          <w:sz w:val="32"/>
          <w:szCs w:val="22"/>
        </w:rPr>
      </w:pPr>
    </w:p>
    <w:p w:rsidR="002C6A0A" w:rsidRDefault="002C6A0A" w:rsidP="002C6A0A">
      <w:pPr>
        <w:widowControl/>
        <w:spacing w:line="700" w:lineRule="exact"/>
        <w:jc w:val="center"/>
        <w:rPr>
          <w:b/>
          <w:bCs/>
          <w:kern w:val="0"/>
          <w:sz w:val="32"/>
          <w:szCs w:val="22"/>
        </w:rPr>
      </w:pPr>
    </w:p>
    <w:p w:rsidR="002C6A0A" w:rsidRDefault="002C6A0A" w:rsidP="002C6A0A">
      <w:pPr>
        <w:widowControl/>
        <w:spacing w:line="700" w:lineRule="exact"/>
        <w:jc w:val="center"/>
        <w:rPr>
          <w:b/>
          <w:bCs/>
          <w:kern w:val="0"/>
          <w:sz w:val="32"/>
          <w:szCs w:val="22"/>
        </w:rPr>
      </w:pPr>
    </w:p>
    <w:p w:rsidR="002C6A0A" w:rsidRDefault="002C6A0A" w:rsidP="002C6A0A">
      <w:pPr>
        <w:widowControl/>
        <w:spacing w:line="700" w:lineRule="exact"/>
        <w:jc w:val="center"/>
        <w:rPr>
          <w:b/>
          <w:bCs/>
          <w:kern w:val="0"/>
          <w:sz w:val="32"/>
          <w:szCs w:val="22"/>
        </w:rPr>
      </w:pPr>
    </w:p>
    <w:p w:rsidR="002C6A0A" w:rsidRDefault="002C6A0A" w:rsidP="002C6A0A">
      <w:pPr>
        <w:widowControl/>
        <w:spacing w:line="700" w:lineRule="exact"/>
        <w:jc w:val="center"/>
        <w:rPr>
          <w:b/>
          <w:bCs/>
          <w:kern w:val="0"/>
          <w:sz w:val="32"/>
          <w:szCs w:val="22"/>
        </w:rPr>
      </w:pPr>
    </w:p>
    <w:p w:rsidR="002C6A0A" w:rsidRDefault="002C6A0A" w:rsidP="002C6A0A">
      <w:pPr>
        <w:widowControl/>
        <w:spacing w:line="600" w:lineRule="exact"/>
        <w:jc w:val="center"/>
        <w:rPr>
          <w:b/>
          <w:bCs/>
          <w:kern w:val="0"/>
          <w:sz w:val="32"/>
          <w:szCs w:val="22"/>
        </w:rPr>
      </w:pPr>
    </w:p>
    <w:p w:rsidR="002C6A0A" w:rsidRDefault="002C6A0A" w:rsidP="002C6A0A">
      <w:pPr>
        <w:widowControl/>
        <w:spacing w:line="600" w:lineRule="exact"/>
        <w:jc w:val="center"/>
        <w:rPr>
          <w:rFonts w:hint="eastAsia"/>
          <w:b/>
          <w:bCs/>
          <w:kern w:val="0"/>
          <w:sz w:val="32"/>
          <w:szCs w:val="22"/>
        </w:rPr>
      </w:pPr>
      <w:bookmarkStart w:id="0" w:name="_GoBack"/>
      <w:bookmarkEnd w:id="0"/>
    </w:p>
    <w:p w:rsidR="002C6A0A" w:rsidRDefault="002C6A0A" w:rsidP="002C6A0A">
      <w:pPr>
        <w:pStyle w:val="ListParagraph"/>
        <w:numPr>
          <w:ilvl w:val="0"/>
          <w:numId w:val="1"/>
        </w:numPr>
        <w:tabs>
          <w:tab w:val="left" w:pos="1288"/>
        </w:tabs>
        <w:spacing w:line="600" w:lineRule="exact"/>
        <w:ind w:left="0" w:firstLineChars="0" w:firstLine="641"/>
        <w:jc w:val="left"/>
        <w:rPr>
          <w:rFonts w:eastAsia="黑体"/>
          <w:sz w:val="32"/>
          <w:szCs w:val="32"/>
        </w:rPr>
      </w:pPr>
      <w:r>
        <w:rPr>
          <w:rFonts w:eastAsia="黑体"/>
          <w:sz w:val="32"/>
          <w:szCs w:val="32"/>
        </w:rPr>
        <w:lastRenderedPageBreak/>
        <w:t>ACCA</w:t>
      </w:r>
      <w:r>
        <w:rPr>
          <w:rFonts w:eastAsia="黑体"/>
          <w:sz w:val="32"/>
          <w:szCs w:val="32"/>
        </w:rPr>
        <w:t>公会介绍</w:t>
      </w:r>
    </w:p>
    <w:p w:rsidR="002C6A0A" w:rsidRDefault="002C6A0A" w:rsidP="002C6A0A">
      <w:pPr>
        <w:pStyle w:val="ListParagraph"/>
        <w:tabs>
          <w:tab w:val="left" w:pos="993"/>
        </w:tabs>
        <w:spacing w:line="600" w:lineRule="exact"/>
        <w:ind w:firstLineChars="0" w:firstLine="641"/>
        <w:rPr>
          <w:rFonts w:eastAsia="仿宋"/>
          <w:sz w:val="32"/>
          <w:szCs w:val="32"/>
        </w:rPr>
      </w:pPr>
      <w:r>
        <w:rPr>
          <w:rFonts w:eastAsia="仿宋"/>
          <w:sz w:val="32"/>
          <w:szCs w:val="32"/>
        </w:rPr>
        <w:t>ACCA</w:t>
      </w:r>
      <w:r>
        <w:rPr>
          <w:rFonts w:eastAsia="仿宋"/>
          <w:sz w:val="32"/>
          <w:szCs w:val="32"/>
        </w:rPr>
        <w:t>成立于</w:t>
      </w:r>
      <w:r>
        <w:rPr>
          <w:rFonts w:eastAsia="仿宋"/>
          <w:sz w:val="32"/>
          <w:szCs w:val="32"/>
        </w:rPr>
        <w:t>1904</w:t>
      </w:r>
      <w:r>
        <w:rPr>
          <w:rFonts w:eastAsia="仿宋"/>
          <w:sz w:val="32"/>
          <w:szCs w:val="32"/>
        </w:rPr>
        <w:t>年，是目前世界上领先的专业国际会计师组织，总部位于英国伦敦。目前，</w:t>
      </w:r>
      <w:r>
        <w:rPr>
          <w:rFonts w:eastAsia="仿宋"/>
          <w:sz w:val="32"/>
          <w:szCs w:val="32"/>
        </w:rPr>
        <w:t>ACCA</w:t>
      </w:r>
      <w:r>
        <w:rPr>
          <w:rFonts w:eastAsia="仿宋"/>
          <w:sz w:val="32"/>
          <w:szCs w:val="32"/>
        </w:rPr>
        <w:t>在世界上</w:t>
      </w:r>
      <w:r>
        <w:rPr>
          <w:rFonts w:eastAsia="仿宋"/>
          <w:sz w:val="32"/>
          <w:szCs w:val="32"/>
        </w:rPr>
        <w:t>160</w:t>
      </w:r>
      <w:r>
        <w:rPr>
          <w:rFonts w:eastAsia="仿宋"/>
          <w:sz w:val="32"/>
          <w:szCs w:val="32"/>
        </w:rPr>
        <w:t>多个国家和地区拥有</w:t>
      </w:r>
      <w:r>
        <w:rPr>
          <w:rFonts w:eastAsia="仿宋"/>
          <w:sz w:val="32"/>
          <w:szCs w:val="32"/>
        </w:rPr>
        <w:t>30</w:t>
      </w:r>
      <w:r>
        <w:rPr>
          <w:rFonts w:eastAsia="仿宋"/>
          <w:sz w:val="32"/>
          <w:szCs w:val="32"/>
        </w:rPr>
        <w:t>万名</w:t>
      </w:r>
      <w:hyperlink r:id="rId6" w:tooltip="会员" w:history="1">
        <w:r>
          <w:rPr>
            <w:rFonts w:eastAsia="仿宋"/>
            <w:sz w:val="32"/>
            <w:szCs w:val="32"/>
          </w:rPr>
          <w:t>会员</w:t>
        </w:r>
      </w:hyperlink>
      <w:r>
        <w:rPr>
          <w:rFonts w:eastAsia="仿宋"/>
          <w:sz w:val="32"/>
          <w:szCs w:val="32"/>
        </w:rPr>
        <w:t>和学员，是国际上国际学生最多</w:t>
      </w:r>
      <w:r>
        <w:rPr>
          <w:rFonts w:eastAsia="仿宋"/>
          <w:sz w:val="32"/>
          <w:szCs w:val="32"/>
        </w:rPr>
        <w:t>,</w:t>
      </w:r>
      <w:r>
        <w:rPr>
          <w:rFonts w:eastAsia="仿宋"/>
          <w:sz w:val="32"/>
          <w:szCs w:val="32"/>
        </w:rPr>
        <w:t>学员规模发展最快的专业会计组织。</w:t>
      </w:r>
      <w:r>
        <w:rPr>
          <w:rFonts w:eastAsia="仿宋"/>
          <w:sz w:val="32"/>
          <w:szCs w:val="32"/>
        </w:rPr>
        <w:t>ACCA</w:t>
      </w:r>
      <w:r>
        <w:rPr>
          <w:rFonts w:eastAsia="仿宋"/>
          <w:sz w:val="32"/>
          <w:szCs w:val="32"/>
        </w:rPr>
        <w:t>会员资格得到</w:t>
      </w:r>
      <w:hyperlink r:id="rId7" w:tooltip="欧盟" w:history="1">
        <w:r>
          <w:rPr>
            <w:rFonts w:eastAsia="仿宋"/>
            <w:sz w:val="32"/>
            <w:szCs w:val="32"/>
          </w:rPr>
          <w:t>欧盟</w:t>
        </w:r>
      </w:hyperlink>
      <w:r>
        <w:rPr>
          <w:rFonts w:eastAsia="仿宋"/>
          <w:sz w:val="32"/>
          <w:szCs w:val="32"/>
        </w:rPr>
        <w:t>立法及许多国家公司法的承认。</w:t>
      </w:r>
      <w:r>
        <w:rPr>
          <w:rFonts w:eastAsia="仿宋"/>
          <w:sz w:val="32"/>
          <w:szCs w:val="32"/>
        </w:rPr>
        <w:t>ACCA</w:t>
      </w:r>
      <w:r>
        <w:rPr>
          <w:rFonts w:eastAsia="仿宋"/>
          <w:sz w:val="32"/>
          <w:szCs w:val="32"/>
        </w:rPr>
        <w:t>是</w:t>
      </w:r>
      <w:hyperlink r:id="rId8" w:tooltip="国际会计准则委员会" w:history="1">
        <w:r>
          <w:rPr>
            <w:rFonts w:eastAsia="仿宋"/>
            <w:sz w:val="32"/>
            <w:szCs w:val="32"/>
          </w:rPr>
          <w:t>国际会计准则委员会</w:t>
        </w:r>
      </w:hyperlink>
      <w:r>
        <w:rPr>
          <w:rFonts w:eastAsia="仿宋"/>
          <w:sz w:val="32"/>
          <w:szCs w:val="32"/>
        </w:rPr>
        <w:t>（</w:t>
      </w:r>
      <w:r>
        <w:rPr>
          <w:rFonts w:eastAsia="仿宋"/>
          <w:sz w:val="32"/>
          <w:szCs w:val="32"/>
        </w:rPr>
        <w:t>IASC</w:t>
      </w:r>
      <w:r>
        <w:rPr>
          <w:rFonts w:eastAsia="仿宋"/>
          <w:sz w:val="32"/>
          <w:szCs w:val="32"/>
        </w:rPr>
        <w:t>）的创始成员，也是</w:t>
      </w:r>
      <w:hyperlink r:id="rId9" w:tooltip="国际会计师联合会" w:history="1">
        <w:r>
          <w:rPr>
            <w:rFonts w:eastAsia="仿宋"/>
            <w:sz w:val="32"/>
            <w:szCs w:val="32"/>
          </w:rPr>
          <w:t>国际会计师联合会</w:t>
        </w:r>
      </w:hyperlink>
      <w:r>
        <w:rPr>
          <w:rFonts w:eastAsia="仿宋"/>
          <w:sz w:val="32"/>
          <w:szCs w:val="32"/>
        </w:rPr>
        <w:t>（</w:t>
      </w:r>
      <w:r>
        <w:rPr>
          <w:rFonts w:eastAsia="仿宋"/>
          <w:sz w:val="32"/>
          <w:szCs w:val="32"/>
        </w:rPr>
        <w:t>IFAC</w:t>
      </w:r>
      <w:r>
        <w:rPr>
          <w:rFonts w:eastAsia="仿宋"/>
          <w:sz w:val="32"/>
          <w:szCs w:val="32"/>
        </w:rPr>
        <w:t>）的主要成员，</w:t>
      </w:r>
      <w:r>
        <w:rPr>
          <w:rFonts w:eastAsia="仿宋"/>
          <w:sz w:val="32"/>
          <w:szCs w:val="32"/>
        </w:rPr>
        <w:t>1999</w:t>
      </w:r>
      <w:r>
        <w:rPr>
          <w:rFonts w:eastAsia="仿宋"/>
          <w:sz w:val="32"/>
          <w:szCs w:val="32"/>
        </w:rPr>
        <w:t>年</w:t>
      </w:r>
      <w:r>
        <w:rPr>
          <w:rFonts w:eastAsia="仿宋"/>
          <w:sz w:val="32"/>
          <w:szCs w:val="32"/>
        </w:rPr>
        <w:t>2</w:t>
      </w:r>
      <w:r>
        <w:rPr>
          <w:rFonts w:eastAsia="仿宋"/>
          <w:sz w:val="32"/>
          <w:szCs w:val="32"/>
        </w:rPr>
        <w:t>月联合国通过了以</w:t>
      </w:r>
      <w:r>
        <w:rPr>
          <w:rFonts w:eastAsia="仿宋"/>
          <w:sz w:val="32"/>
          <w:szCs w:val="32"/>
        </w:rPr>
        <w:t>ACCA</w:t>
      </w:r>
      <w:r>
        <w:rPr>
          <w:rFonts w:eastAsia="仿宋"/>
          <w:sz w:val="32"/>
          <w:szCs w:val="32"/>
        </w:rPr>
        <w:t>课程大纲为蓝本的《职业会计师专业教育国际大纲》，该大纲将作为世界各地职业会计师考试课程设置的一个衡量基准。</w:t>
      </w:r>
      <w:r>
        <w:rPr>
          <w:rFonts w:eastAsia="仿宋"/>
          <w:sz w:val="32"/>
          <w:szCs w:val="32"/>
        </w:rPr>
        <w:t>ACCA</w:t>
      </w:r>
      <w:r>
        <w:rPr>
          <w:rFonts w:eastAsia="仿宋"/>
          <w:sz w:val="32"/>
          <w:szCs w:val="32"/>
        </w:rPr>
        <w:t>实际上是特许公认会计师公会（</w:t>
      </w:r>
      <w:r>
        <w:rPr>
          <w:rFonts w:eastAsia="仿宋"/>
          <w:sz w:val="32"/>
          <w:szCs w:val="32"/>
        </w:rPr>
        <w:t>The Association Of Chartered Certified Accountants</w:t>
      </w:r>
      <w:r>
        <w:rPr>
          <w:rFonts w:eastAsia="仿宋"/>
          <w:sz w:val="32"/>
          <w:szCs w:val="32"/>
        </w:rPr>
        <w:t>）的缩写，在国内称为</w:t>
      </w:r>
      <w:r>
        <w:rPr>
          <w:rFonts w:eastAsia="仿宋"/>
          <w:sz w:val="32"/>
          <w:szCs w:val="32"/>
        </w:rPr>
        <w:t>“</w:t>
      </w:r>
      <w:r>
        <w:rPr>
          <w:rFonts w:eastAsia="仿宋"/>
          <w:sz w:val="32"/>
          <w:szCs w:val="32"/>
        </w:rPr>
        <w:t>国际注册会计师</w:t>
      </w:r>
      <w:r>
        <w:rPr>
          <w:rFonts w:eastAsia="仿宋"/>
          <w:sz w:val="32"/>
          <w:szCs w:val="32"/>
        </w:rPr>
        <w:t>”</w:t>
      </w:r>
      <w:r>
        <w:rPr>
          <w:rFonts w:eastAsia="仿宋"/>
          <w:sz w:val="32"/>
          <w:szCs w:val="32"/>
        </w:rPr>
        <w:t>，它是英国具有特许头衔的</w:t>
      </w:r>
      <w:r>
        <w:rPr>
          <w:rFonts w:eastAsia="仿宋"/>
          <w:sz w:val="32"/>
          <w:szCs w:val="32"/>
        </w:rPr>
        <w:t>4</w:t>
      </w:r>
      <w:r>
        <w:rPr>
          <w:rFonts w:eastAsia="仿宋"/>
          <w:sz w:val="32"/>
          <w:szCs w:val="32"/>
        </w:rPr>
        <w:t>家注册会计师协会之一，也是当今最知名的国际性会计师组织之一。</w:t>
      </w:r>
      <w:r>
        <w:rPr>
          <w:rFonts w:eastAsia="仿宋"/>
          <w:sz w:val="32"/>
          <w:szCs w:val="32"/>
        </w:rPr>
        <w:t>ACCA</w:t>
      </w:r>
      <w:r>
        <w:rPr>
          <w:rFonts w:eastAsia="仿宋"/>
          <w:sz w:val="32"/>
          <w:szCs w:val="32"/>
        </w:rPr>
        <w:t>资格被认为是</w:t>
      </w:r>
      <w:r>
        <w:rPr>
          <w:rFonts w:eastAsia="仿宋"/>
          <w:sz w:val="32"/>
          <w:szCs w:val="32"/>
        </w:rPr>
        <w:t>“</w:t>
      </w:r>
      <w:r>
        <w:rPr>
          <w:rFonts w:eastAsia="仿宋"/>
          <w:sz w:val="32"/>
          <w:szCs w:val="32"/>
        </w:rPr>
        <w:t>国际财会界的通行证</w:t>
      </w:r>
      <w:r>
        <w:rPr>
          <w:rFonts w:eastAsia="仿宋"/>
          <w:sz w:val="32"/>
          <w:szCs w:val="32"/>
        </w:rPr>
        <w:t>”</w:t>
      </w:r>
      <w:r>
        <w:rPr>
          <w:rFonts w:eastAsia="仿宋"/>
          <w:sz w:val="32"/>
          <w:szCs w:val="32"/>
        </w:rPr>
        <w:t>，许多国家立法许可</w:t>
      </w:r>
      <w:r>
        <w:rPr>
          <w:rFonts w:eastAsia="仿宋"/>
          <w:sz w:val="32"/>
          <w:szCs w:val="32"/>
        </w:rPr>
        <w:t>ACCA</w:t>
      </w:r>
      <w:r>
        <w:rPr>
          <w:rFonts w:eastAsia="仿宋"/>
          <w:sz w:val="32"/>
          <w:szCs w:val="32"/>
        </w:rPr>
        <w:t>会员从事</w:t>
      </w:r>
      <w:hyperlink r:id="rId10" w:tooltip="审计" w:history="1">
        <w:r>
          <w:rPr>
            <w:rFonts w:eastAsia="仿宋"/>
            <w:sz w:val="32"/>
            <w:szCs w:val="32"/>
          </w:rPr>
          <w:t>审计</w:t>
        </w:r>
      </w:hyperlink>
      <w:r>
        <w:rPr>
          <w:rFonts w:eastAsia="仿宋"/>
          <w:sz w:val="32"/>
          <w:szCs w:val="32"/>
        </w:rPr>
        <w:t>、</w:t>
      </w:r>
      <w:hyperlink r:id="rId11" w:tooltip="投资" w:history="1">
        <w:r>
          <w:rPr>
            <w:rFonts w:eastAsia="仿宋"/>
            <w:sz w:val="32"/>
            <w:szCs w:val="32"/>
          </w:rPr>
          <w:t>投资</w:t>
        </w:r>
      </w:hyperlink>
      <w:r>
        <w:rPr>
          <w:rFonts w:eastAsia="仿宋"/>
          <w:sz w:val="32"/>
          <w:szCs w:val="32"/>
        </w:rPr>
        <w:t>顾问和</w:t>
      </w:r>
      <w:hyperlink r:id="rId12" w:tooltip="破产" w:history="1">
        <w:r>
          <w:rPr>
            <w:rFonts w:eastAsia="仿宋"/>
            <w:sz w:val="32"/>
            <w:szCs w:val="32"/>
          </w:rPr>
          <w:t>破产</w:t>
        </w:r>
      </w:hyperlink>
      <w:r>
        <w:rPr>
          <w:rFonts w:eastAsia="仿宋"/>
          <w:sz w:val="32"/>
          <w:szCs w:val="32"/>
        </w:rPr>
        <w:t>执行工作。</w:t>
      </w:r>
      <w:r>
        <w:rPr>
          <w:rFonts w:eastAsia="仿宋"/>
          <w:sz w:val="32"/>
          <w:szCs w:val="32"/>
        </w:rPr>
        <w:t xml:space="preserve"> </w:t>
      </w:r>
    </w:p>
    <w:p w:rsidR="002C6A0A" w:rsidRDefault="002C6A0A" w:rsidP="002C6A0A">
      <w:pPr>
        <w:pStyle w:val="ListParagraph"/>
        <w:tabs>
          <w:tab w:val="left" w:pos="993"/>
        </w:tabs>
        <w:spacing w:line="600" w:lineRule="exact"/>
        <w:ind w:firstLineChars="0" w:firstLine="641"/>
        <w:rPr>
          <w:rFonts w:eastAsia="仿宋"/>
          <w:sz w:val="32"/>
          <w:szCs w:val="32"/>
        </w:rPr>
      </w:pPr>
      <w:r>
        <w:rPr>
          <w:rFonts w:eastAsia="仿宋"/>
          <w:sz w:val="32"/>
          <w:szCs w:val="32"/>
        </w:rPr>
        <w:t>随着中国成为</w:t>
      </w:r>
      <w:hyperlink r:id="rId13" w:tooltip="WTO" w:history="1">
        <w:r>
          <w:rPr>
            <w:rFonts w:eastAsia="仿宋"/>
            <w:sz w:val="32"/>
            <w:szCs w:val="32"/>
          </w:rPr>
          <w:t>WTO</w:t>
        </w:r>
      </w:hyperlink>
      <w:r>
        <w:rPr>
          <w:rFonts w:eastAsia="仿宋"/>
          <w:sz w:val="32"/>
          <w:szCs w:val="32"/>
        </w:rPr>
        <w:t>成员国，许多职业的就业标准走向国际化，众多洋证书开始进入中国，其中</w:t>
      </w:r>
      <w:r>
        <w:rPr>
          <w:rFonts w:eastAsia="仿宋"/>
          <w:sz w:val="32"/>
          <w:szCs w:val="32"/>
        </w:rPr>
        <w:t>“</w:t>
      </w:r>
      <w:r>
        <w:rPr>
          <w:rFonts w:eastAsia="仿宋"/>
          <w:sz w:val="32"/>
          <w:szCs w:val="32"/>
        </w:rPr>
        <w:t>国际注册会计师证书</w:t>
      </w:r>
      <w:r>
        <w:rPr>
          <w:rFonts w:eastAsia="仿宋"/>
          <w:sz w:val="32"/>
          <w:szCs w:val="32"/>
        </w:rPr>
        <w:t>”</w:t>
      </w:r>
      <w:r>
        <w:rPr>
          <w:rFonts w:eastAsia="仿宋"/>
          <w:sz w:val="32"/>
          <w:szCs w:val="32"/>
        </w:rPr>
        <w:t>（</w:t>
      </w:r>
      <w:r>
        <w:rPr>
          <w:rFonts w:eastAsia="仿宋"/>
          <w:sz w:val="32"/>
          <w:szCs w:val="32"/>
        </w:rPr>
        <w:t>ACCA</w:t>
      </w:r>
      <w:r>
        <w:rPr>
          <w:rFonts w:eastAsia="仿宋"/>
          <w:sz w:val="32"/>
          <w:szCs w:val="32"/>
        </w:rPr>
        <w:t>）炙手可热。有资料显示，自</w:t>
      </w:r>
      <w:r>
        <w:rPr>
          <w:rFonts w:eastAsia="仿宋"/>
          <w:sz w:val="32"/>
          <w:szCs w:val="32"/>
        </w:rPr>
        <w:t>ACCA</w:t>
      </w:r>
      <w:r>
        <w:rPr>
          <w:rFonts w:eastAsia="仿宋"/>
          <w:sz w:val="32"/>
          <w:szCs w:val="32"/>
        </w:rPr>
        <w:t>在国内启动以来，中国内地仅有几千人注册成为</w:t>
      </w:r>
      <w:r>
        <w:rPr>
          <w:rFonts w:eastAsia="仿宋"/>
          <w:sz w:val="32"/>
          <w:szCs w:val="32"/>
        </w:rPr>
        <w:t>ACCA</w:t>
      </w:r>
      <w:r>
        <w:rPr>
          <w:rFonts w:eastAsia="仿宋"/>
          <w:sz w:val="32"/>
          <w:szCs w:val="32"/>
        </w:rPr>
        <w:t>的学员。而据估计，我国大约需要</w:t>
      </w:r>
      <w:r>
        <w:rPr>
          <w:rFonts w:eastAsia="仿宋"/>
          <w:sz w:val="32"/>
          <w:szCs w:val="32"/>
        </w:rPr>
        <w:t>35</w:t>
      </w:r>
      <w:r>
        <w:rPr>
          <w:rFonts w:eastAsia="仿宋"/>
          <w:sz w:val="32"/>
          <w:szCs w:val="32"/>
        </w:rPr>
        <w:t>万名</w:t>
      </w:r>
      <w:hyperlink r:id="rId14" w:tooltip="注册会计师" w:history="1">
        <w:r>
          <w:rPr>
            <w:rFonts w:eastAsia="仿宋"/>
            <w:sz w:val="32"/>
            <w:szCs w:val="32"/>
          </w:rPr>
          <w:t>注册会计师</w:t>
        </w:r>
      </w:hyperlink>
      <w:r>
        <w:rPr>
          <w:rFonts w:eastAsia="仿宋"/>
          <w:sz w:val="32"/>
          <w:szCs w:val="32"/>
        </w:rPr>
        <w:t>。需求</w:t>
      </w:r>
      <w:hyperlink r:id="rId15" w:tooltip="缺口" w:history="1">
        <w:r>
          <w:rPr>
            <w:rFonts w:eastAsia="仿宋"/>
            <w:sz w:val="32"/>
            <w:szCs w:val="32"/>
          </w:rPr>
          <w:t>缺口</w:t>
        </w:r>
      </w:hyperlink>
      <w:r>
        <w:rPr>
          <w:rFonts w:eastAsia="仿宋"/>
          <w:sz w:val="32"/>
          <w:szCs w:val="32"/>
        </w:rPr>
        <w:t>的巨大，加上</w:t>
      </w:r>
      <w:r>
        <w:rPr>
          <w:rFonts w:eastAsia="仿宋"/>
          <w:sz w:val="32"/>
          <w:szCs w:val="32"/>
        </w:rPr>
        <w:t>ACCA</w:t>
      </w:r>
      <w:r>
        <w:rPr>
          <w:rFonts w:eastAsia="仿宋"/>
          <w:sz w:val="32"/>
          <w:szCs w:val="32"/>
        </w:rPr>
        <w:t>本身</w:t>
      </w:r>
      <w:r>
        <w:rPr>
          <w:rFonts w:eastAsia="仿宋"/>
          <w:sz w:val="32"/>
          <w:szCs w:val="32"/>
        </w:rPr>
        <w:t>“</w:t>
      </w:r>
      <w:r>
        <w:rPr>
          <w:rFonts w:eastAsia="仿宋"/>
          <w:sz w:val="32"/>
          <w:szCs w:val="32"/>
        </w:rPr>
        <w:t>十年磨一剑</w:t>
      </w:r>
      <w:r>
        <w:rPr>
          <w:rFonts w:eastAsia="仿宋"/>
          <w:sz w:val="32"/>
          <w:szCs w:val="32"/>
        </w:rPr>
        <w:t>”</w:t>
      </w:r>
      <w:r>
        <w:rPr>
          <w:rFonts w:eastAsia="仿宋"/>
          <w:sz w:val="32"/>
          <w:szCs w:val="32"/>
        </w:rPr>
        <w:t>的含金量，使</w:t>
      </w:r>
      <w:r>
        <w:rPr>
          <w:rFonts w:eastAsia="仿宋"/>
          <w:sz w:val="32"/>
          <w:szCs w:val="32"/>
        </w:rPr>
        <w:t>ACCA</w:t>
      </w:r>
      <w:r>
        <w:rPr>
          <w:rFonts w:eastAsia="仿宋"/>
          <w:sz w:val="32"/>
          <w:szCs w:val="32"/>
        </w:rPr>
        <w:t>的</w:t>
      </w:r>
      <w:hyperlink r:id="rId16" w:tooltip="会员" w:history="1">
        <w:r>
          <w:rPr>
            <w:rFonts w:eastAsia="仿宋"/>
            <w:sz w:val="32"/>
            <w:szCs w:val="32"/>
          </w:rPr>
          <w:t>会员</w:t>
        </w:r>
      </w:hyperlink>
      <w:r>
        <w:rPr>
          <w:rFonts w:eastAsia="仿宋"/>
          <w:sz w:val="32"/>
          <w:szCs w:val="32"/>
        </w:rPr>
        <w:t>大多身价不菲。目前持有</w:t>
      </w:r>
      <w:r>
        <w:rPr>
          <w:rFonts w:eastAsia="仿宋"/>
          <w:sz w:val="32"/>
          <w:szCs w:val="32"/>
        </w:rPr>
        <w:t>ACCA</w:t>
      </w:r>
      <w:r>
        <w:rPr>
          <w:rFonts w:eastAsia="仿宋"/>
          <w:sz w:val="32"/>
          <w:szCs w:val="32"/>
        </w:rPr>
        <w:t>证书的人员年薪普遍在</w:t>
      </w:r>
      <w:r>
        <w:rPr>
          <w:rFonts w:eastAsia="仿宋"/>
          <w:sz w:val="32"/>
          <w:szCs w:val="32"/>
        </w:rPr>
        <w:t>40</w:t>
      </w:r>
      <w:r>
        <w:rPr>
          <w:rFonts w:eastAsia="仿宋"/>
          <w:sz w:val="32"/>
          <w:szCs w:val="32"/>
        </w:rPr>
        <w:t>万</w:t>
      </w:r>
      <w:r>
        <w:rPr>
          <w:rFonts w:eastAsia="仿宋"/>
          <w:sz w:val="32"/>
          <w:szCs w:val="32"/>
        </w:rPr>
        <w:lastRenderedPageBreak/>
        <w:t>元左右，最高年薪已逾百万元。</w:t>
      </w:r>
      <w:r>
        <w:rPr>
          <w:rFonts w:eastAsia="仿宋"/>
          <w:sz w:val="32"/>
          <w:szCs w:val="32"/>
        </w:rPr>
        <w:t xml:space="preserve"> </w:t>
      </w:r>
    </w:p>
    <w:p w:rsidR="002C6A0A" w:rsidRDefault="002C6A0A" w:rsidP="002C6A0A">
      <w:pPr>
        <w:pStyle w:val="ListParagraph"/>
        <w:tabs>
          <w:tab w:val="left" w:pos="993"/>
        </w:tabs>
        <w:spacing w:line="600" w:lineRule="exact"/>
        <w:ind w:firstLineChars="0" w:firstLine="641"/>
        <w:rPr>
          <w:rFonts w:eastAsia="仿宋"/>
          <w:sz w:val="32"/>
          <w:szCs w:val="32"/>
        </w:rPr>
      </w:pPr>
      <w:r>
        <w:rPr>
          <w:rFonts w:eastAsia="仿宋"/>
          <w:sz w:val="32"/>
          <w:szCs w:val="32"/>
        </w:rPr>
        <w:t>目前在众多大型</w:t>
      </w:r>
      <w:hyperlink r:id="rId17" w:tooltip="国际企业" w:history="1">
        <w:r>
          <w:rPr>
            <w:rFonts w:eastAsia="仿宋"/>
            <w:sz w:val="32"/>
            <w:szCs w:val="32"/>
          </w:rPr>
          <w:t>国际企业</w:t>
        </w:r>
      </w:hyperlink>
      <w:r>
        <w:rPr>
          <w:rFonts w:eastAsia="仿宋"/>
          <w:sz w:val="32"/>
          <w:szCs w:val="32"/>
        </w:rPr>
        <w:t>中担任高层职位和</w:t>
      </w:r>
      <w:hyperlink r:id="rId18" w:tooltip="CFO" w:history="1">
        <w:r>
          <w:rPr>
            <w:rFonts w:eastAsia="仿宋"/>
            <w:sz w:val="32"/>
            <w:szCs w:val="32"/>
          </w:rPr>
          <w:t>CFO</w:t>
        </w:r>
      </w:hyperlink>
      <w:r>
        <w:rPr>
          <w:rFonts w:eastAsia="仿宋"/>
          <w:sz w:val="32"/>
          <w:szCs w:val="32"/>
        </w:rPr>
        <w:t>职位的</w:t>
      </w:r>
      <w:r>
        <w:rPr>
          <w:rFonts w:eastAsia="仿宋"/>
          <w:sz w:val="32"/>
          <w:szCs w:val="32"/>
        </w:rPr>
        <w:t>ACCA</w:t>
      </w:r>
      <w:hyperlink r:id="rId19" w:tooltip="会员" w:history="1">
        <w:r>
          <w:rPr>
            <w:rFonts w:eastAsia="仿宋"/>
            <w:sz w:val="32"/>
            <w:szCs w:val="32"/>
          </w:rPr>
          <w:t>会员</w:t>
        </w:r>
      </w:hyperlink>
      <w:r>
        <w:rPr>
          <w:rFonts w:eastAsia="仿宋"/>
          <w:sz w:val="32"/>
          <w:szCs w:val="32"/>
        </w:rPr>
        <w:t>不计其数。</w:t>
      </w:r>
      <w:r>
        <w:rPr>
          <w:rFonts w:eastAsia="仿宋"/>
          <w:sz w:val="32"/>
          <w:szCs w:val="32"/>
        </w:rPr>
        <w:t>ACCA</w:t>
      </w:r>
      <w:r>
        <w:rPr>
          <w:rFonts w:eastAsia="仿宋"/>
          <w:sz w:val="32"/>
          <w:szCs w:val="32"/>
        </w:rPr>
        <w:t>在全球的声誉和影响力是基于</w:t>
      </w:r>
      <w:r>
        <w:rPr>
          <w:rFonts w:eastAsia="仿宋"/>
          <w:sz w:val="32"/>
          <w:szCs w:val="32"/>
        </w:rPr>
        <w:t>ACCA</w:t>
      </w:r>
      <w:r>
        <w:rPr>
          <w:rFonts w:eastAsia="仿宋"/>
          <w:sz w:val="32"/>
          <w:szCs w:val="32"/>
        </w:rPr>
        <w:t>对财会培训的不断创新。</w:t>
      </w:r>
      <w:r>
        <w:rPr>
          <w:rFonts w:eastAsia="仿宋"/>
          <w:sz w:val="32"/>
          <w:szCs w:val="32"/>
        </w:rPr>
        <w:t>ACCA</w:t>
      </w:r>
      <w:r>
        <w:rPr>
          <w:rFonts w:eastAsia="仿宋"/>
          <w:sz w:val="32"/>
          <w:szCs w:val="32"/>
        </w:rPr>
        <w:t>一直致力于培养全世界最好的</w:t>
      </w:r>
      <w:hyperlink r:id="rId20" w:tooltip="会计" w:history="1">
        <w:r>
          <w:rPr>
            <w:rFonts w:eastAsia="仿宋"/>
            <w:sz w:val="32"/>
            <w:szCs w:val="32"/>
          </w:rPr>
          <w:t>会计</w:t>
        </w:r>
      </w:hyperlink>
      <w:r>
        <w:rPr>
          <w:rFonts w:eastAsia="仿宋"/>
          <w:sz w:val="32"/>
          <w:szCs w:val="32"/>
        </w:rPr>
        <w:t>和</w:t>
      </w:r>
      <w:hyperlink r:id="rId21" w:tooltip="会计师" w:history="1">
        <w:r>
          <w:rPr>
            <w:rFonts w:eastAsia="仿宋"/>
            <w:sz w:val="32"/>
            <w:szCs w:val="32"/>
          </w:rPr>
          <w:t>会计师</w:t>
        </w:r>
      </w:hyperlink>
      <w:r>
        <w:rPr>
          <w:rFonts w:eastAsia="仿宋"/>
          <w:sz w:val="32"/>
          <w:szCs w:val="32"/>
        </w:rPr>
        <w:t>，不论你的年龄、性别、学历、种族，只要立志成为世界公认的会计和国际公认的会计师，均可申请成为</w:t>
      </w:r>
      <w:r>
        <w:rPr>
          <w:rFonts w:eastAsia="仿宋"/>
          <w:sz w:val="32"/>
          <w:szCs w:val="32"/>
        </w:rPr>
        <w:t>ACCA</w:t>
      </w:r>
      <w:r>
        <w:rPr>
          <w:rFonts w:eastAsia="仿宋"/>
          <w:sz w:val="32"/>
          <w:szCs w:val="32"/>
        </w:rPr>
        <w:t>学员，在通过一系列的专业考试，并取得一定的财务工作经验后，就可授予</w:t>
      </w:r>
      <w:hyperlink r:id="rId22" w:tooltip="CAT" w:history="1">
        <w:r>
          <w:rPr>
            <w:rFonts w:eastAsia="仿宋"/>
            <w:sz w:val="32"/>
            <w:szCs w:val="32"/>
          </w:rPr>
          <w:t>CAT</w:t>
        </w:r>
      </w:hyperlink>
      <w:r>
        <w:rPr>
          <w:rFonts w:eastAsia="仿宋"/>
          <w:sz w:val="32"/>
          <w:szCs w:val="32"/>
        </w:rPr>
        <w:t>（国际公认会计技师）、</w:t>
      </w:r>
      <w:r>
        <w:rPr>
          <w:rFonts w:eastAsia="仿宋"/>
          <w:sz w:val="32"/>
          <w:szCs w:val="32"/>
        </w:rPr>
        <w:t>ACCA</w:t>
      </w:r>
      <w:r>
        <w:rPr>
          <w:rFonts w:eastAsia="仿宋"/>
          <w:sz w:val="32"/>
          <w:szCs w:val="32"/>
        </w:rPr>
        <w:t>（国际公认会计师）资格，此资格在国际财务金融界备受推崇。</w:t>
      </w:r>
      <w:r>
        <w:rPr>
          <w:rFonts w:eastAsia="仿宋"/>
          <w:sz w:val="32"/>
          <w:szCs w:val="32"/>
        </w:rPr>
        <w:t xml:space="preserve"> </w:t>
      </w:r>
    </w:p>
    <w:p w:rsidR="002C6A0A" w:rsidRDefault="002C6A0A" w:rsidP="002C6A0A">
      <w:pPr>
        <w:widowControl/>
        <w:jc w:val="left"/>
        <w:rPr>
          <w:rFonts w:eastAsia="黑体"/>
          <w:sz w:val="32"/>
          <w:szCs w:val="40"/>
        </w:rPr>
      </w:pPr>
    </w:p>
    <w:p w:rsidR="002C6A0A" w:rsidRDefault="002C6A0A" w:rsidP="002C6A0A">
      <w:pPr>
        <w:widowControl/>
        <w:jc w:val="left"/>
        <w:rPr>
          <w:rFonts w:eastAsia="黑体"/>
          <w:sz w:val="32"/>
          <w:szCs w:val="40"/>
        </w:rPr>
      </w:pPr>
    </w:p>
    <w:p w:rsidR="002C6A0A" w:rsidRDefault="002C6A0A" w:rsidP="002C6A0A">
      <w:pPr>
        <w:widowControl/>
        <w:jc w:val="left"/>
        <w:rPr>
          <w:rFonts w:eastAsia="黑体"/>
          <w:sz w:val="32"/>
          <w:szCs w:val="40"/>
        </w:rPr>
      </w:pPr>
    </w:p>
    <w:p w:rsidR="002C6A0A" w:rsidRDefault="002C6A0A" w:rsidP="002C6A0A">
      <w:pPr>
        <w:widowControl/>
        <w:jc w:val="left"/>
        <w:rPr>
          <w:rFonts w:eastAsia="黑体"/>
          <w:sz w:val="32"/>
          <w:szCs w:val="40"/>
        </w:rPr>
      </w:pPr>
    </w:p>
    <w:p w:rsidR="002C6A0A" w:rsidRDefault="002C6A0A" w:rsidP="002C6A0A">
      <w:pPr>
        <w:widowControl/>
        <w:jc w:val="left"/>
        <w:rPr>
          <w:rFonts w:eastAsia="黑体"/>
          <w:sz w:val="32"/>
          <w:szCs w:val="40"/>
        </w:rPr>
      </w:pPr>
    </w:p>
    <w:p w:rsidR="003A41BB" w:rsidRPr="002C6A0A" w:rsidRDefault="003A41BB"/>
    <w:sectPr w:rsidR="003A41BB" w:rsidRPr="002C6A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0A"/>
    <w:rsid w:val="002C6A0A"/>
    <w:rsid w:val="003A41BB"/>
    <w:rsid w:val="00AD1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13D6"/>
  <w15:chartTrackingRefBased/>
  <w15:docId w15:val="{2CBAD5CE-1952-42AE-BC16-9F9DAD7D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A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uiPriority w:val="34"/>
    <w:qFormat/>
    <w:rsid w:val="002C6A0A"/>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mbalib.com/wiki/%E5%9B%BD%E9%99%85%E4%BC%9A%E8%AE%A1%E5%87%86%E5%88%99%E5%A7%94%E5%91%98%E4%BC%9A" TargetMode="External"/><Relationship Id="rId13" Type="http://schemas.openxmlformats.org/officeDocument/2006/relationships/hyperlink" Target="https://wiki.mbalib.com/wiki/WTO" TargetMode="External"/><Relationship Id="rId18" Type="http://schemas.openxmlformats.org/officeDocument/2006/relationships/hyperlink" Target="https://wiki.mbalib.com/wiki/CFO" TargetMode="External"/><Relationship Id="rId3" Type="http://schemas.openxmlformats.org/officeDocument/2006/relationships/settings" Target="settings.xml"/><Relationship Id="rId21" Type="http://schemas.openxmlformats.org/officeDocument/2006/relationships/hyperlink" Target="https://wiki.mbalib.com/wiki/%E4%BC%9A%E8%AE%A1%E5%B8%88" TargetMode="External"/><Relationship Id="rId7" Type="http://schemas.openxmlformats.org/officeDocument/2006/relationships/hyperlink" Target="https://wiki.mbalib.com/wiki/%E6%AC%A7%E7%9B%9F" TargetMode="External"/><Relationship Id="rId12" Type="http://schemas.openxmlformats.org/officeDocument/2006/relationships/hyperlink" Target="https://wiki.mbalib.com/wiki/%E7%A0%B4%E4%BA%A7" TargetMode="External"/><Relationship Id="rId17" Type="http://schemas.openxmlformats.org/officeDocument/2006/relationships/hyperlink" Target="https://wiki.mbalib.com/wiki/%E5%9B%BD%E9%99%85%E4%BC%81%E4%B8%9A" TargetMode="External"/><Relationship Id="rId2" Type="http://schemas.openxmlformats.org/officeDocument/2006/relationships/styles" Target="styles.xml"/><Relationship Id="rId16" Type="http://schemas.openxmlformats.org/officeDocument/2006/relationships/hyperlink" Target="https://wiki.mbalib.com/wiki/%E4%BC%9A%E5%91%98" TargetMode="External"/><Relationship Id="rId20" Type="http://schemas.openxmlformats.org/officeDocument/2006/relationships/hyperlink" Target="https://wiki.mbalib.com/wiki/%E4%BC%9A%E8%AE%A1" TargetMode="External"/><Relationship Id="rId1" Type="http://schemas.openxmlformats.org/officeDocument/2006/relationships/numbering" Target="numbering.xml"/><Relationship Id="rId6" Type="http://schemas.openxmlformats.org/officeDocument/2006/relationships/hyperlink" Target="https://wiki.mbalib.com/wiki/%E4%BC%9A%E5%91%98" TargetMode="External"/><Relationship Id="rId11" Type="http://schemas.openxmlformats.org/officeDocument/2006/relationships/hyperlink" Target="https://wiki.mbalib.com/wiki/%E6%8A%95%E8%B5%84"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wiki.mbalib.com/wiki/%E7%BC%BA%E5%8F%A3" TargetMode="External"/><Relationship Id="rId23" Type="http://schemas.openxmlformats.org/officeDocument/2006/relationships/fontTable" Target="fontTable.xml"/><Relationship Id="rId10" Type="http://schemas.openxmlformats.org/officeDocument/2006/relationships/hyperlink" Target="https://wiki.mbalib.com/wiki/%E5%AE%A1%E8%AE%A1" TargetMode="External"/><Relationship Id="rId19" Type="http://schemas.openxmlformats.org/officeDocument/2006/relationships/hyperlink" Target="https://wiki.mbalib.com/wiki/%E4%BC%9A%E5%91%98" TargetMode="External"/><Relationship Id="rId4" Type="http://schemas.openxmlformats.org/officeDocument/2006/relationships/webSettings" Target="webSettings.xml"/><Relationship Id="rId9" Type="http://schemas.openxmlformats.org/officeDocument/2006/relationships/hyperlink" Target="https://wiki.mbalib.com/wiki/%E5%9B%BD%E9%99%85%E4%BC%9A%E8%AE%A1%E5%B8%88%E8%81%94%E5%90%88%E4%BC%9A" TargetMode="External"/><Relationship Id="rId14" Type="http://schemas.openxmlformats.org/officeDocument/2006/relationships/hyperlink" Target="https://wiki.mbalib.com/wiki/%E6%B3%A8%E5%86%8C%E4%BC%9A%E8%AE%A1%E5%B8%88" TargetMode="External"/><Relationship Id="rId22" Type="http://schemas.openxmlformats.org/officeDocument/2006/relationships/hyperlink" Target="https://wiki.mbalib.com/wiki/CA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469</Words>
  <Characters>2676</Characters>
  <Application>Microsoft Office Word</Application>
  <DocSecurity>0</DocSecurity>
  <Lines>22</Lines>
  <Paragraphs>6</Paragraphs>
  <ScaleCrop>false</ScaleCrop>
  <Company>China</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张雅祺</dc:creator>
  <cp:keywords/>
  <dc:description/>
  <cp:lastModifiedBy>张雅祺</cp:lastModifiedBy>
  <cp:revision>1</cp:revision>
  <dcterms:created xsi:type="dcterms:W3CDTF">2022-04-18T02:00:00Z</dcterms:created>
  <dcterms:modified xsi:type="dcterms:W3CDTF">2022-04-18T02:02:00Z</dcterms:modified>
</cp:coreProperties>
</file>